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建安建材</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钢渣粉</w:t>
      </w:r>
      <w:r>
        <w:rPr>
          <w:rFonts w:hint="eastAsia" w:ascii="仿宋" w:hAnsi="仿宋" w:eastAsia="仿宋" w:cs="宋体"/>
          <w:b/>
          <w:bCs/>
          <w:kern w:val="1"/>
          <w:sz w:val="44"/>
          <w:szCs w:val="44"/>
          <w:u w:val="single"/>
        </w:rPr>
        <w:t>材料</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w:t>
      </w:r>
      <w:r>
        <w:rPr>
          <w:rFonts w:hint="eastAsia" w:ascii="仿宋" w:hAnsi="仿宋" w:eastAsia="仿宋" w:cs="仿宋_GB2312"/>
          <w:b/>
          <w:bCs/>
          <w:sz w:val="32"/>
          <w:szCs w:val="32"/>
          <w:highlight w:val="none"/>
          <w:u w:val="single"/>
        </w:rPr>
        <w:t>2</w:t>
      </w:r>
      <w:r>
        <w:rPr>
          <w:rFonts w:hint="eastAsia" w:ascii="仿宋" w:hAnsi="仿宋" w:eastAsia="仿宋" w:cs="仿宋_GB2312"/>
          <w:b/>
          <w:bCs/>
          <w:sz w:val="32"/>
          <w:szCs w:val="32"/>
          <w:highlight w:val="none"/>
          <w:u w:val="single"/>
          <w:lang w:val="en-US" w:eastAsia="zh-CN"/>
        </w:rPr>
        <w:t>3140</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22</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22</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b/>
          <w:bCs/>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eastAsia="zh-CN"/>
        </w:rPr>
        <w:t>钢渣粉</w:t>
      </w:r>
      <w:r>
        <w:rPr>
          <w:rFonts w:hint="eastAsia" w:ascii="仿宋" w:hAnsi="仿宋" w:eastAsia="仿宋" w:cs="仿宋_GB2312"/>
          <w:spacing w:val="6"/>
          <w:sz w:val="28"/>
          <w:szCs w:val="28"/>
          <w:u w:val="single"/>
          <w:lang w:val="en-US" w:eastAsia="zh-CN"/>
        </w:rPr>
        <w:t>1500</w:t>
      </w:r>
      <w:r>
        <w:rPr>
          <w:rFonts w:hint="eastAsia" w:ascii="仿宋" w:hAnsi="仿宋" w:eastAsia="仿宋" w:cs="仿宋_GB2312"/>
          <w:spacing w:val="6"/>
          <w:sz w:val="28"/>
          <w:szCs w:val="28"/>
          <w:u w:val="single"/>
        </w:rPr>
        <w:t>0</w:t>
      </w:r>
      <w:r>
        <w:rPr>
          <w:rFonts w:hint="eastAsia" w:ascii="仿宋" w:hAnsi="仿宋" w:eastAsia="仿宋" w:cs="仿宋_GB2312"/>
          <w:spacing w:val="-23"/>
          <w:sz w:val="28"/>
          <w:szCs w:val="28"/>
          <w:u w:val="single"/>
        </w:rPr>
        <w:t>吨。</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伍万</w:t>
      </w:r>
      <w:r>
        <w:rPr>
          <w:rFonts w:hint="eastAsia" w:ascii="仿宋" w:hAnsi="仿宋" w:eastAsia="仿宋" w:cs="仿宋_GB2312"/>
          <w:b/>
          <w:bCs/>
          <w:color w:val="000000"/>
          <w:sz w:val="28"/>
          <w:szCs w:val="28"/>
          <w:u w:val="single"/>
        </w:rPr>
        <w:t>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建安建材</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钢渣粉</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3140</w:t>
      </w:r>
      <w:r>
        <w:rPr>
          <w:rFonts w:hint="eastAsia" w:ascii="仿宋" w:hAnsi="仿宋" w:eastAsia="仿宋" w:cs="仿宋_GB2312"/>
          <w:b/>
          <w:bCs/>
          <w:sz w:val="28"/>
          <w:szCs w:val="28"/>
          <w:u w:val="single"/>
        </w:rPr>
        <w:t>投标保证金</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val="en-US"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lang w:eastAsia="zh-CN"/>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w:t>
      </w:r>
      <w:bookmarkStart w:id="0" w:name="_GoBack"/>
      <w:bookmarkEnd w:id="0"/>
      <w:r>
        <w:rPr>
          <w:rFonts w:hint="eastAsia" w:ascii="仿宋" w:hAnsi="仿宋" w:eastAsia="仿宋" w:cs="仿宋_GB2312"/>
          <w:sz w:val="28"/>
          <w:szCs w:val="28"/>
          <w:u w:val="single"/>
        </w:rPr>
        <w:t>56211500）</w:t>
      </w:r>
      <w:r>
        <w:rPr>
          <w:rFonts w:hint="eastAsia" w:ascii="仿宋" w:hAnsi="仿宋" w:eastAsia="仿宋" w:cs="仿宋_GB2312"/>
          <w:sz w:val="28"/>
          <w:szCs w:val="28"/>
          <w:u w:val="single"/>
          <w:lang w:eastAsia="zh-CN"/>
        </w:rPr>
        <w:t>。</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hint="eastAsia" w:ascii="仿宋" w:hAnsi="仿宋" w:eastAsia="仿宋" w:cs="仿宋"/>
          <w:sz w:val="28"/>
          <w:szCs w:val="28"/>
        </w:rPr>
      </w:pPr>
      <w:r>
        <w:rPr>
          <w:rFonts w:hint="eastAsia" w:ascii="仿宋" w:hAnsi="仿宋" w:eastAsia="仿宋" w:cs="仿宋_GB2312"/>
          <w:sz w:val="28"/>
          <w:szCs w:val="28"/>
        </w:rPr>
        <w:t>1、</w:t>
      </w:r>
      <w:r>
        <w:rPr>
          <w:rFonts w:hint="eastAsia" w:ascii="仿宋" w:hAnsi="仿宋" w:eastAsia="仿宋" w:cs="仿宋"/>
          <w:sz w:val="28"/>
          <w:szCs w:val="28"/>
        </w:rPr>
        <w:t>本次招标材料的质量相关要求</w:t>
      </w:r>
    </w:p>
    <w:p>
      <w:pPr>
        <w:spacing w:line="560" w:lineRule="exact"/>
        <w:ind w:firstLine="638" w:firstLineChars="228"/>
        <w:rPr>
          <w:rFonts w:hint="eastAsia" w:ascii="仿宋" w:hAnsi="仿宋" w:eastAsia="仿宋" w:cs="仿宋"/>
          <w:sz w:val="28"/>
          <w:szCs w:val="28"/>
        </w:rPr>
      </w:pPr>
      <w:r>
        <w:rPr>
          <w:rFonts w:hint="eastAsia" w:ascii="仿宋" w:hAnsi="仿宋" w:eastAsia="仿宋" w:cs="仿宋"/>
          <w:sz w:val="28"/>
          <w:szCs w:val="28"/>
        </w:rPr>
        <w:t>（1）材料质量要求</w:t>
      </w:r>
    </w:p>
    <w:p>
      <w:pPr>
        <w:spacing w:line="560" w:lineRule="exact"/>
        <w:ind w:firstLine="560" w:firstLineChars="200"/>
        <w:rPr>
          <w:rFonts w:hint="eastAsia" w:ascii="仿宋" w:hAnsi="仿宋" w:eastAsia="仿宋" w:cs="仿宋"/>
          <w:strike/>
          <w:dstrike w:val="0"/>
          <w:color w:val="auto"/>
          <w:sz w:val="28"/>
          <w:szCs w:val="28"/>
          <w:lang w:eastAsia="zh-CN"/>
        </w:rPr>
      </w:pPr>
      <w:r>
        <w:rPr>
          <w:rFonts w:hint="eastAsia" w:ascii="仿宋" w:hAnsi="仿宋" w:eastAsia="仿宋" w:cs="仿宋"/>
          <w:b w:val="0"/>
          <w:bCs w:val="0"/>
          <w:color w:val="auto"/>
          <w:sz w:val="28"/>
          <w:szCs w:val="28"/>
          <w:highlight w:val="none"/>
          <w:u w:val="single"/>
          <w:lang w:val="en-US" w:eastAsia="zh-CN"/>
        </w:rPr>
        <w:t>钢渣粉满足GB/T20491</w:t>
      </w:r>
      <w:r>
        <w:rPr>
          <w:rFonts w:hint="eastAsia" w:ascii="仿宋" w:hAnsi="仿宋" w:eastAsia="仿宋" w:cs="仿宋"/>
          <w:b w:val="0"/>
          <w:bCs w:val="0"/>
          <w:color w:val="auto"/>
          <w:sz w:val="28"/>
          <w:szCs w:val="28"/>
          <w:highlight w:val="none"/>
          <w:u w:val="single"/>
          <w:lang w:val="en-US" w:eastAsia="zh-CN"/>
        </w:rPr>
        <w:tab/>
      </w:r>
      <w:r>
        <w:rPr>
          <w:rFonts w:hint="eastAsia" w:ascii="仿宋" w:hAnsi="仿宋" w:eastAsia="仿宋" w:cs="仿宋"/>
          <w:b w:val="0"/>
          <w:bCs w:val="0"/>
          <w:color w:val="auto"/>
          <w:sz w:val="28"/>
          <w:szCs w:val="28"/>
          <w:highlight w:val="none"/>
          <w:u w:val="single"/>
          <w:lang w:val="en-US" w:eastAsia="zh-CN"/>
        </w:rPr>
        <w:t>《用于水泥和混凝土中的钢渣粉》中表1规定的二级钢渣粉技术要求。其中：三氧化硫≦4%</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含水量</w:t>
      </w:r>
      <w:r>
        <w:rPr>
          <w:rFonts w:hint="eastAsia" w:ascii="仿宋" w:hAnsi="仿宋" w:eastAsia="仿宋" w:cs="仿宋"/>
          <w:b w:val="0"/>
          <w:bCs w:val="0"/>
          <w:color w:val="auto"/>
          <w:sz w:val="28"/>
          <w:szCs w:val="28"/>
          <w:highlight w:val="none"/>
          <w:u w:val="single"/>
          <w:lang w:val="en-US" w:eastAsia="zh-CN"/>
        </w:rPr>
        <w:t>≦1%，7天活性</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5%</w:t>
      </w:r>
      <w:r>
        <w:rPr>
          <w:rFonts w:hint="eastAsia" w:ascii="仿宋" w:hAnsi="仿宋" w:eastAsia="仿宋" w:cs="仿宋"/>
          <w:color w:val="auto"/>
          <w:sz w:val="28"/>
          <w:szCs w:val="28"/>
          <w:highlight w:val="none"/>
          <w:u w:val="single"/>
          <w:lang w:eastAsia="zh-CN"/>
        </w:rPr>
        <w:t>，</w:t>
      </w:r>
      <w:r>
        <w:rPr>
          <w:rFonts w:hint="eastAsia" w:ascii="仿宋" w:hAnsi="仿宋" w:eastAsia="仿宋" w:cs="仿宋"/>
          <w:b w:val="0"/>
          <w:bCs w:val="0"/>
          <w:color w:val="auto"/>
          <w:sz w:val="28"/>
          <w:szCs w:val="28"/>
          <w:highlight w:val="none"/>
          <w:u w:val="single"/>
          <w:lang w:val="en-US" w:eastAsia="zh-CN"/>
        </w:rPr>
        <w:t>28天活性</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CN"/>
        </w:rPr>
        <w:t>6</w:t>
      </w:r>
      <w:r>
        <w:rPr>
          <w:rFonts w:hint="eastAsia" w:ascii="仿宋" w:hAnsi="仿宋" w:eastAsia="仿宋" w:cs="仿宋"/>
          <w:color w:val="auto"/>
          <w:sz w:val="28"/>
          <w:szCs w:val="28"/>
          <w:highlight w:val="none"/>
          <w:u w:val="single"/>
        </w:rPr>
        <w:t>5%</w:t>
      </w:r>
      <w:r>
        <w:rPr>
          <w:rFonts w:hint="eastAsia" w:ascii="仿宋" w:hAnsi="仿宋" w:eastAsia="仿宋" w:cs="仿宋"/>
          <w:color w:val="auto"/>
          <w:sz w:val="28"/>
          <w:szCs w:val="28"/>
          <w:highlight w:val="none"/>
          <w:u w:val="single"/>
          <w:lang w:eastAsia="zh-CN"/>
        </w:rPr>
        <w:t>。</w:t>
      </w:r>
    </w:p>
    <w:p>
      <w:pPr>
        <w:spacing w:line="560" w:lineRule="exact"/>
        <w:ind w:firstLine="638" w:firstLineChars="228"/>
        <w:rPr>
          <w:rFonts w:hint="eastAsia" w:ascii="仿宋" w:hAnsi="仿宋" w:eastAsia="仿宋" w:cs="仿宋"/>
          <w:color w:val="auto"/>
          <w:sz w:val="28"/>
          <w:szCs w:val="28"/>
        </w:rPr>
      </w:pPr>
      <w:r>
        <w:rPr>
          <w:rFonts w:hint="eastAsia" w:ascii="仿宋" w:hAnsi="仿宋" w:eastAsia="仿宋" w:cs="仿宋"/>
          <w:color w:val="auto"/>
          <w:sz w:val="28"/>
          <w:szCs w:val="28"/>
        </w:rPr>
        <w:t>（2）投标人如若中标，提供的材料必须符合技术指标要求。</w:t>
      </w:r>
    </w:p>
    <w:p>
      <w:pPr>
        <w:spacing w:line="560" w:lineRule="exact"/>
        <w:ind w:firstLine="638" w:firstLineChars="228"/>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买方以100吨/批次抽样，</w:t>
      </w:r>
      <w:r>
        <w:rPr>
          <w:rFonts w:hint="eastAsia" w:ascii="仿宋" w:hAnsi="仿宋" w:eastAsia="仿宋" w:cs="仿宋"/>
          <w:b w:val="0"/>
          <w:bCs w:val="0"/>
          <w:i w:val="0"/>
          <w:caps w:val="0"/>
          <w:color w:val="auto"/>
          <w:spacing w:val="0"/>
          <w:sz w:val="28"/>
          <w:szCs w:val="28"/>
          <w:shd w:val="clear" w:color="auto" w:fill="FFFFFF"/>
        </w:rPr>
        <w:t>每月应有</w:t>
      </w:r>
      <w:r>
        <w:rPr>
          <w:rFonts w:hint="eastAsia" w:ascii="仿宋" w:hAnsi="仿宋" w:eastAsia="仿宋" w:cs="仿宋"/>
          <w:b w:val="0"/>
          <w:bCs w:val="0"/>
          <w:i w:val="0"/>
          <w:caps w:val="0"/>
          <w:color w:val="auto"/>
          <w:spacing w:val="0"/>
          <w:sz w:val="28"/>
          <w:szCs w:val="28"/>
          <w:shd w:val="clear" w:color="auto" w:fill="FFFFFF"/>
          <w:lang w:val="en-US" w:eastAsia="zh-CN"/>
        </w:rPr>
        <w:t>8</w:t>
      </w:r>
      <w:r>
        <w:rPr>
          <w:rFonts w:hint="eastAsia" w:ascii="仿宋" w:hAnsi="仿宋" w:eastAsia="仿宋" w:cs="仿宋"/>
          <w:b w:val="0"/>
          <w:bCs w:val="0"/>
          <w:i w:val="0"/>
          <w:caps w:val="0"/>
          <w:color w:val="auto"/>
          <w:spacing w:val="0"/>
          <w:sz w:val="28"/>
          <w:szCs w:val="28"/>
          <w:shd w:val="clear" w:color="auto" w:fill="FFFFFF"/>
        </w:rPr>
        <w:t>0%的批次符合</w:t>
      </w:r>
      <w:r>
        <w:rPr>
          <w:rFonts w:hint="eastAsia" w:ascii="仿宋" w:hAnsi="仿宋" w:eastAsia="仿宋" w:cs="仿宋"/>
          <w:b w:val="0"/>
          <w:bCs w:val="0"/>
          <w:color w:val="auto"/>
          <w:sz w:val="28"/>
          <w:szCs w:val="28"/>
          <w:highlight w:val="none"/>
          <w:u w:val="none"/>
          <w:lang w:val="en-US" w:eastAsia="zh-CN"/>
        </w:rPr>
        <w:t>GB/T20491《用于水泥和混凝土中的钢渣粉》中表1规定的二级钢渣粉技术要求</w:t>
      </w:r>
      <w:r>
        <w:rPr>
          <w:rFonts w:hint="eastAsia" w:ascii="仿宋" w:hAnsi="仿宋" w:eastAsia="仿宋" w:cs="仿宋"/>
          <w:b w:val="0"/>
          <w:bCs w:val="0"/>
          <w:i w:val="0"/>
          <w:caps w:val="0"/>
          <w:color w:val="auto"/>
          <w:spacing w:val="0"/>
          <w:sz w:val="28"/>
          <w:szCs w:val="28"/>
          <w:u w:val="none"/>
          <w:shd w:val="clear" w:color="auto" w:fill="FFFFFF"/>
        </w:rPr>
        <w:t>，</w:t>
      </w:r>
      <w:r>
        <w:rPr>
          <w:rFonts w:hint="eastAsia" w:ascii="仿宋" w:hAnsi="仿宋" w:eastAsia="仿宋" w:cs="仿宋"/>
          <w:b w:val="0"/>
          <w:bCs w:val="0"/>
          <w:i w:val="0"/>
          <w:caps w:val="0"/>
          <w:color w:val="auto"/>
          <w:spacing w:val="0"/>
          <w:sz w:val="28"/>
          <w:szCs w:val="28"/>
          <w:shd w:val="clear" w:color="auto" w:fill="FFFFFF"/>
        </w:rPr>
        <w:t>低于90%的每批次扣除货款</w:t>
      </w:r>
      <w:r>
        <w:rPr>
          <w:rFonts w:hint="eastAsia" w:ascii="仿宋" w:hAnsi="仿宋" w:eastAsia="仿宋" w:cs="仿宋"/>
          <w:b w:val="0"/>
          <w:bCs w:val="0"/>
          <w:i w:val="0"/>
          <w:caps w:val="0"/>
          <w:color w:val="auto"/>
          <w:spacing w:val="0"/>
          <w:sz w:val="28"/>
          <w:szCs w:val="28"/>
          <w:shd w:val="clear" w:color="auto" w:fill="FFFFFF"/>
          <w:lang w:val="en-US" w:eastAsia="zh-CN"/>
        </w:rPr>
        <w:t>20</w:t>
      </w:r>
      <w:r>
        <w:rPr>
          <w:rFonts w:hint="eastAsia" w:ascii="仿宋" w:hAnsi="仿宋" w:eastAsia="仿宋" w:cs="仿宋"/>
          <w:b w:val="0"/>
          <w:bCs w:val="0"/>
          <w:i w:val="0"/>
          <w:caps w:val="0"/>
          <w:color w:val="auto"/>
          <w:spacing w:val="0"/>
          <w:sz w:val="28"/>
          <w:szCs w:val="28"/>
          <w:shd w:val="clear" w:color="auto" w:fill="FFFFFF"/>
        </w:rPr>
        <w:t>000元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连续两个月合格率低于80%，立即终止合同。</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
          <w:color w:val="auto"/>
          <w:sz w:val="28"/>
          <w:szCs w:val="28"/>
        </w:rPr>
        <w:t>（4）因材料</w:t>
      </w:r>
      <w:r>
        <w:rPr>
          <w:rFonts w:hint="eastAsia" w:ascii="仿宋" w:hAnsi="仿宋" w:eastAsia="仿宋" w:cs="仿宋_GB2312"/>
          <w:color w:val="auto"/>
          <w:sz w:val="28"/>
          <w:szCs w:val="28"/>
        </w:rPr>
        <w:t>产品</w:t>
      </w:r>
      <w:r>
        <w:rPr>
          <w:rFonts w:hint="eastAsia" w:ascii="仿宋" w:hAnsi="仿宋" w:eastAsia="仿宋" w:cs="仿宋_GB2312"/>
          <w:sz w:val="28"/>
          <w:szCs w:val="28"/>
        </w:rPr>
        <w:t>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（1）本次招标设置招标控制价</w:t>
      </w:r>
      <w:r>
        <w:rPr>
          <w:rFonts w:hint="eastAsia" w:ascii="仿宋" w:hAnsi="仿宋" w:eastAsia="仿宋" w:cs="仿宋_GB2312"/>
          <w:sz w:val="28"/>
          <w:szCs w:val="28"/>
          <w:lang w:eastAsia="zh-CN"/>
        </w:rPr>
        <w:t>：</w:t>
      </w:r>
      <w:r>
        <w:rPr>
          <w:rFonts w:hint="eastAsia" w:ascii="仿宋" w:hAnsi="仿宋" w:eastAsia="仿宋" w:cs="仿宋_GB2312"/>
          <w:sz w:val="28"/>
          <w:szCs w:val="28"/>
          <w:highlight w:val="none"/>
          <w:lang w:val="en-US" w:eastAsia="zh-CN"/>
        </w:rPr>
        <w:t>160</w:t>
      </w:r>
      <w:r>
        <w:rPr>
          <w:rFonts w:hint="eastAsia" w:ascii="仿宋" w:hAnsi="仿宋" w:eastAsia="仿宋" w:cs="仿宋_GB2312"/>
          <w:sz w:val="28"/>
          <w:szCs w:val="28"/>
          <w:highlight w:val="none"/>
        </w:rPr>
        <w:t>元/吨（含</w:t>
      </w:r>
      <w:r>
        <w:rPr>
          <w:rFonts w:hint="eastAsia" w:ascii="仿宋" w:hAnsi="仿宋" w:eastAsia="仿宋" w:cs="仿宋_GB2312"/>
          <w:sz w:val="28"/>
          <w:szCs w:val="28"/>
          <w:highlight w:val="none"/>
          <w:lang w:val="en-US" w:eastAsia="zh-CN"/>
        </w:rPr>
        <w:t>13%增值</w:t>
      </w:r>
      <w:r>
        <w:rPr>
          <w:rFonts w:hint="eastAsia" w:ascii="仿宋" w:hAnsi="仿宋" w:eastAsia="仿宋" w:cs="仿宋_GB2312"/>
          <w:sz w:val="28"/>
          <w:szCs w:val="28"/>
          <w:highlight w:val="none"/>
        </w:rPr>
        <w:t>税含运费</w:t>
      </w:r>
      <w:r>
        <w:rPr>
          <w:rFonts w:hint="eastAsia" w:ascii="仿宋" w:hAnsi="仿宋" w:eastAsia="仿宋" w:cs="仿宋_GB2312"/>
          <w:sz w:val="28"/>
          <w:szCs w:val="28"/>
          <w:highlight w:val="none"/>
          <w:lang w:eastAsia="zh-CN"/>
        </w:rPr>
        <w:t>一票制</w:t>
      </w:r>
      <w:r>
        <w:rPr>
          <w:rFonts w:hint="eastAsia" w:ascii="仿宋" w:hAnsi="仿宋" w:eastAsia="仿宋" w:cs="仿宋_GB2312"/>
          <w:sz w:val="28"/>
          <w:szCs w:val="28"/>
          <w:highlight w:val="none"/>
        </w:rPr>
        <w:t>）。</w:t>
      </w:r>
    </w:p>
    <w:p>
      <w:pPr>
        <w:spacing w:line="560" w:lineRule="exact"/>
        <w:ind w:left="560"/>
        <w:rPr>
          <w:rFonts w:hint="eastAsia" w:ascii="仿宋" w:hAnsi="仿宋" w:eastAsia="仿宋" w:cs="仿宋_GB2312"/>
          <w:sz w:val="28"/>
          <w:szCs w:val="28"/>
          <w:lang w:val="en-US" w:eastAsia="zh-CN"/>
        </w:rPr>
      </w:pPr>
      <w:r>
        <w:rPr>
          <w:rFonts w:hint="eastAsia" w:ascii="仿宋" w:hAnsi="仿宋" w:eastAsia="仿宋" w:cs="仿宋_GB2312"/>
          <w:sz w:val="28"/>
          <w:szCs w:val="28"/>
        </w:rPr>
        <w:t>（2）凡高于招标控制价的报价均视为无效报价</w:t>
      </w:r>
      <w:r>
        <w:rPr>
          <w:rFonts w:hint="eastAsia" w:ascii="仿宋" w:hAnsi="仿宋" w:eastAsia="仿宋" w:cs="仿宋_GB2312"/>
          <w:sz w:val="28"/>
          <w:szCs w:val="28"/>
          <w:highlight w:val="none"/>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公司磅单为准。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号与需方核对本月供应数量和金额，供应数量</w:t>
      </w:r>
      <w:r>
        <w:rPr>
          <w:rFonts w:hint="eastAsia" w:ascii="仿宋" w:hAnsi="仿宋" w:eastAsia="仿宋" w:cs="仿宋_GB2312"/>
          <w:sz w:val="28"/>
          <w:szCs w:val="28"/>
          <w:u w:val="single"/>
          <w:lang w:eastAsia="zh-CN"/>
        </w:rPr>
        <w:t>以建材公司磅单及出厂磅单同步统计</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eastAsia="zh-CN"/>
        </w:rPr>
        <w:t>以总量小者为结算数量</w:t>
      </w:r>
      <w:r>
        <w:rPr>
          <w:rFonts w:hint="eastAsia" w:ascii="仿宋" w:hAnsi="仿宋" w:eastAsia="仿宋" w:cs="仿宋_GB2312"/>
          <w:sz w:val="28"/>
          <w:szCs w:val="28"/>
          <w:lang w:eastAsia="zh-CN"/>
        </w:rPr>
        <w:t>。</w:t>
      </w:r>
      <w:r>
        <w:rPr>
          <w:rFonts w:hint="eastAsia" w:ascii="仿宋" w:hAnsi="仿宋" w:eastAsia="仿宋" w:cs="仿宋_GB2312"/>
          <w:sz w:val="28"/>
          <w:szCs w:val="28"/>
        </w:rPr>
        <w:t>供需双方共同确认供应数量和金额后在结算单上签字。</w:t>
      </w:r>
    </w:p>
    <w:p>
      <w:pPr>
        <w:spacing w:line="560" w:lineRule="exact"/>
        <w:ind w:firstLine="560" w:firstLineChars="200"/>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rPr>
        <w:t>7、</w:t>
      </w:r>
      <w:r>
        <w:rPr>
          <w:rFonts w:hint="eastAsia" w:ascii="仿宋" w:hAnsi="仿宋" w:eastAsia="仿宋" w:cs="仿宋_GB2312"/>
          <w:sz w:val="28"/>
          <w:szCs w:val="28"/>
          <w:highlight w:val="none"/>
        </w:rPr>
        <w:t>结算价格</w:t>
      </w:r>
    </w:p>
    <w:p>
      <w:pPr>
        <w:spacing w:line="560" w:lineRule="exact"/>
        <w:rPr>
          <w:rFonts w:ascii="仿宋" w:hAnsi="仿宋" w:eastAsia="仿宋" w:cs="仿宋_GB2312"/>
          <w:spacing w:val="-17"/>
          <w:sz w:val="28"/>
          <w:szCs w:val="28"/>
          <w:highlight w:val="none"/>
        </w:rPr>
      </w:pPr>
      <w:r>
        <w:rPr>
          <w:rFonts w:hint="eastAsia" w:ascii="仿宋" w:hAnsi="仿宋" w:eastAsia="仿宋" w:cs="仿宋_GB2312"/>
          <w:sz w:val="28"/>
          <w:szCs w:val="28"/>
          <w:highlight w:val="none"/>
        </w:rPr>
        <w:t xml:space="preserve">    </w:t>
      </w:r>
      <w:r>
        <w:rPr>
          <w:rFonts w:hint="eastAsia" w:ascii="仿宋" w:hAnsi="仿宋" w:eastAsia="仿宋" w:cs="仿宋_GB2312"/>
          <w:sz w:val="28"/>
          <w:szCs w:val="28"/>
          <w:highlight w:val="none"/>
          <w:u w:val="single"/>
        </w:rPr>
        <w:t>各投标单位报价须谨慎，一旦中标不得以任何理由变更报价</w:t>
      </w:r>
      <w:r>
        <w:rPr>
          <w:rFonts w:hint="eastAsia" w:ascii="仿宋" w:hAnsi="仿宋" w:eastAsia="仿宋" w:cs="仿宋_GB2312"/>
          <w:spacing w:val="-17"/>
          <w:sz w:val="28"/>
          <w:szCs w:val="28"/>
          <w:highlight w:val="none"/>
          <w:u w:val="single"/>
        </w:rPr>
        <w:t>。</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8、付款方式</w:t>
      </w:r>
    </w:p>
    <w:p>
      <w:pPr>
        <w:spacing w:line="560" w:lineRule="exact"/>
        <w:ind w:firstLine="560" w:firstLineChars="200"/>
        <w:rPr>
          <w:rFonts w:hint="eastAsia" w:ascii="仿宋" w:hAnsi="仿宋" w:eastAsia="仿宋" w:cs="仿宋_GB2312"/>
          <w:sz w:val="28"/>
          <w:szCs w:val="28"/>
          <w:highlight w:val="green"/>
          <w:lang w:val="en-US" w:eastAsia="zh-CN"/>
        </w:rPr>
      </w:pPr>
      <w:r>
        <w:rPr>
          <w:rFonts w:hint="eastAsia" w:ascii="仿宋" w:hAnsi="仿宋" w:eastAsia="仿宋" w:cs="仿宋"/>
          <w:i w:val="0"/>
          <w:iCs w:val="0"/>
          <w:caps w:val="0"/>
          <w:color w:val="171A1D"/>
          <w:spacing w:val="0"/>
          <w:sz w:val="28"/>
          <w:szCs w:val="28"/>
          <w:highlight w:val="none"/>
          <w:shd w:val="clear" w:color="auto" w:fill="FFFFFF"/>
        </w:rPr>
        <w:t>次月</w:t>
      </w:r>
      <w:r>
        <w:rPr>
          <w:rFonts w:hint="eastAsia" w:ascii="仿宋" w:hAnsi="仿宋" w:eastAsia="仿宋" w:cs="仿宋"/>
          <w:i w:val="0"/>
          <w:iCs w:val="0"/>
          <w:caps w:val="0"/>
          <w:color w:val="171A1D"/>
          <w:spacing w:val="0"/>
          <w:sz w:val="28"/>
          <w:szCs w:val="28"/>
          <w:highlight w:val="none"/>
          <w:shd w:val="clear" w:color="auto" w:fill="FFFFFF"/>
          <w:lang w:eastAsia="zh-CN"/>
        </w:rPr>
        <w:t>支付发票金额的</w:t>
      </w:r>
      <w:r>
        <w:rPr>
          <w:rFonts w:hint="eastAsia" w:ascii="仿宋" w:hAnsi="仿宋" w:eastAsia="仿宋" w:cs="仿宋"/>
          <w:i w:val="0"/>
          <w:iCs w:val="0"/>
          <w:caps w:val="0"/>
          <w:color w:val="171A1D"/>
          <w:spacing w:val="0"/>
          <w:sz w:val="28"/>
          <w:szCs w:val="28"/>
          <w:highlight w:val="none"/>
          <w:shd w:val="clear" w:color="auto" w:fill="FFFFFF"/>
          <w:lang w:val="en-US" w:eastAsia="zh-CN"/>
        </w:rPr>
        <w:t>7</w:t>
      </w:r>
      <w:r>
        <w:rPr>
          <w:rFonts w:hint="eastAsia" w:ascii="仿宋" w:hAnsi="仿宋" w:eastAsia="仿宋" w:cs="仿宋"/>
          <w:i w:val="0"/>
          <w:iCs w:val="0"/>
          <w:caps w:val="0"/>
          <w:color w:val="171A1D"/>
          <w:spacing w:val="0"/>
          <w:sz w:val="28"/>
          <w:szCs w:val="28"/>
          <w:highlight w:val="none"/>
          <w:shd w:val="clear" w:color="auto" w:fill="FFFFFF"/>
        </w:rPr>
        <w:t>0%</w:t>
      </w:r>
      <w:r>
        <w:rPr>
          <w:rFonts w:hint="eastAsia" w:ascii="仿宋" w:hAnsi="仿宋" w:eastAsia="仿宋" w:cs="仿宋"/>
          <w:i w:val="0"/>
          <w:iCs w:val="0"/>
          <w:caps w:val="0"/>
          <w:color w:val="171A1D"/>
          <w:spacing w:val="0"/>
          <w:sz w:val="28"/>
          <w:szCs w:val="28"/>
          <w:highlight w:val="none"/>
          <w:shd w:val="clear" w:color="auto" w:fill="FFFFFF"/>
          <w:lang w:eastAsia="zh-CN"/>
        </w:rPr>
        <w:t>，</w:t>
      </w:r>
      <w:r>
        <w:rPr>
          <w:rFonts w:hint="eastAsia" w:ascii="仿宋" w:hAnsi="仿宋" w:eastAsia="仿宋" w:cs="仿宋"/>
          <w:i w:val="0"/>
          <w:iCs w:val="0"/>
          <w:caps w:val="0"/>
          <w:color w:val="171A1D"/>
          <w:spacing w:val="0"/>
          <w:sz w:val="28"/>
          <w:szCs w:val="28"/>
          <w:highlight w:val="none"/>
          <w:shd w:val="clear" w:color="auto" w:fill="FFFFFF"/>
        </w:rPr>
        <w:t>年底付到不低于总款项的</w:t>
      </w:r>
      <w:r>
        <w:rPr>
          <w:rFonts w:hint="eastAsia" w:ascii="仿宋" w:hAnsi="仿宋" w:eastAsia="仿宋" w:cs="仿宋"/>
          <w:i w:val="0"/>
          <w:iCs w:val="0"/>
          <w:caps w:val="0"/>
          <w:color w:val="171A1D"/>
          <w:spacing w:val="0"/>
          <w:sz w:val="28"/>
          <w:szCs w:val="28"/>
          <w:highlight w:val="none"/>
          <w:shd w:val="clear" w:color="auto" w:fill="FFFFFF"/>
          <w:lang w:val="en-US" w:eastAsia="zh-CN"/>
        </w:rPr>
        <w:t>9</w:t>
      </w:r>
      <w:r>
        <w:rPr>
          <w:rFonts w:hint="eastAsia" w:ascii="仿宋" w:hAnsi="仿宋" w:eastAsia="仿宋" w:cs="仿宋"/>
          <w:i w:val="0"/>
          <w:iCs w:val="0"/>
          <w:caps w:val="0"/>
          <w:color w:val="171A1D"/>
          <w:spacing w:val="0"/>
          <w:sz w:val="28"/>
          <w:szCs w:val="28"/>
          <w:highlight w:val="none"/>
          <w:shd w:val="clear" w:color="auto" w:fill="FFFFFF"/>
        </w:rPr>
        <w:t>0%货款。</w:t>
      </w:r>
      <w:r>
        <w:rPr>
          <w:rFonts w:hint="eastAsia" w:ascii="仿宋" w:hAnsi="仿宋" w:eastAsia="仿宋" w:cs="仿宋"/>
          <w:i w:val="0"/>
          <w:iCs w:val="0"/>
          <w:caps w:val="0"/>
          <w:color w:val="171A1D"/>
          <w:spacing w:val="0"/>
          <w:sz w:val="28"/>
          <w:szCs w:val="28"/>
          <w:highlight w:val="none"/>
          <w:shd w:val="clear" w:color="auto" w:fill="FFFFFF"/>
          <w:lang w:eastAsia="zh-CN"/>
        </w:rPr>
        <w:t>余下</w:t>
      </w:r>
      <w:r>
        <w:rPr>
          <w:rFonts w:hint="eastAsia" w:ascii="仿宋" w:hAnsi="仿宋" w:eastAsia="仿宋" w:cs="仿宋"/>
          <w:i w:val="0"/>
          <w:iCs w:val="0"/>
          <w:caps w:val="0"/>
          <w:color w:val="171A1D"/>
          <w:spacing w:val="0"/>
          <w:sz w:val="28"/>
          <w:szCs w:val="28"/>
          <w:highlight w:val="none"/>
          <w:shd w:val="clear" w:color="auto" w:fill="FFFFFF"/>
          <w:lang w:val="en-US" w:eastAsia="zh-CN"/>
        </w:rPr>
        <w:t>10%货款2024年6月30日前付清。</w:t>
      </w:r>
      <w:r>
        <w:rPr>
          <w:rFonts w:hint="eastAsia" w:ascii="仿宋" w:hAnsi="仿宋" w:eastAsia="仿宋" w:cs="仿宋"/>
          <w:i w:val="0"/>
          <w:iCs w:val="0"/>
          <w:caps w:val="0"/>
          <w:color w:val="171A1D"/>
          <w:spacing w:val="0"/>
          <w:sz w:val="28"/>
          <w:szCs w:val="28"/>
          <w:highlight w:val="non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shd w:val="clear" w:color="auto" w:fill="FFFFFF"/>
          <w:lang w:eastAsia="zh-CN"/>
        </w:rPr>
        <w:t>对公</w:t>
      </w:r>
      <w:r>
        <w:rPr>
          <w:rFonts w:hint="eastAsia" w:ascii="仿宋" w:hAnsi="仿宋" w:eastAsia="仿宋" w:cs="仿宋"/>
          <w:i w:val="0"/>
          <w:iCs w:val="0"/>
          <w:caps w:val="0"/>
          <w:color w:val="171A1D"/>
          <w:spacing w:val="0"/>
          <w:sz w:val="28"/>
          <w:szCs w:val="28"/>
          <w:highlight w:val="none"/>
          <w:shd w:val="clear" w:color="auto" w:fill="FFFFFF"/>
        </w:rPr>
        <w:t>账户，</w:t>
      </w:r>
      <w:r>
        <w:rPr>
          <w:rFonts w:hint="eastAsia" w:ascii="仿宋" w:hAnsi="仿宋" w:eastAsia="仿宋" w:cs="仿宋"/>
          <w:i w:val="0"/>
          <w:iCs w:val="0"/>
          <w:caps w:val="0"/>
          <w:color w:val="171A1D"/>
          <w:spacing w:val="0"/>
          <w:sz w:val="28"/>
          <w:szCs w:val="28"/>
          <w:highlight w:val="none"/>
          <w:shd w:val="clear" w:color="auto" w:fill="FFFFFF"/>
          <w:lang w:eastAsia="zh-CN"/>
        </w:rPr>
        <w:t>支付</w:t>
      </w:r>
      <w:r>
        <w:rPr>
          <w:rFonts w:hint="eastAsia" w:ascii="仿宋" w:hAnsi="仿宋" w:eastAsia="仿宋" w:cs="仿宋"/>
          <w:i w:val="0"/>
          <w:iCs w:val="0"/>
          <w:caps w:val="0"/>
          <w:color w:val="171A1D"/>
          <w:spacing w:val="0"/>
          <w:sz w:val="28"/>
          <w:szCs w:val="28"/>
          <w:highlight w:val="none"/>
          <w:shd w:val="clear" w:color="auto" w:fill="FFFFFF"/>
        </w:rPr>
        <w:t>电汇</w:t>
      </w:r>
      <w:r>
        <w:rPr>
          <w:rFonts w:hint="eastAsia" w:ascii="仿宋" w:hAnsi="仿宋" w:eastAsia="仿宋" w:cs="仿宋"/>
          <w:i w:val="0"/>
          <w:iCs w:val="0"/>
          <w:caps w:val="0"/>
          <w:color w:val="171A1D"/>
          <w:spacing w:val="0"/>
          <w:sz w:val="28"/>
          <w:szCs w:val="28"/>
          <w:highlight w:val="non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shd w:val="clear" w:color="auto" w:fill="FFFFFF"/>
        </w:rPr>
        <w:t>。</w:t>
      </w:r>
      <w:r>
        <w:rPr>
          <w:rFonts w:hint="eastAsia" w:ascii="仿宋" w:hAnsi="仿宋" w:eastAsia="仿宋" w:cs="仿宋"/>
          <w:i w:val="0"/>
          <w:iCs w:val="0"/>
          <w:caps w:val="0"/>
          <w:color w:val="171A1D"/>
          <w:spacing w:val="0"/>
          <w:sz w:val="28"/>
          <w:szCs w:val="28"/>
          <w:highlight w:val="none"/>
          <w:shd w:val="clear" w:color="auto" w:fill="FFFFFF"/>
          <w:lang w:eastAsia="zh-CN"/>
        </w:rPr>
        <w:t>中标人与建材公司签订采购两方合同，付款由建材公司支付。</w:t>
      </w: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3、评标：</w:t>
      </w:r>
      <w:r>
        <w:rPr>
          <w:rFonts w:hint="eastAsia" w:ascii="仿宋" w:hAnsi="仿宋" w:eastAsia="仿宋" w:cs="仿宋_GB2312"/>
          <w:sz w:val="28"/>
          <w:szCs w:val="28"/>
          <w:highlight w:val="none"/>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highlight w:val="none"/>
          <w:u w:val="single"/>
          <w:lang w:eastAsia="zh-CN"/>
        </w:rPr>
        <w:t>，最低价报价单位</w:t>
      </w:r>
      <w:r>
        <w:rPr>
          <w:rFonts w:hint="eastAsia" w:ascii="仿宋" w:hAnsi="仿宋" w:eastAsia="仿宋" w:cs="仿宋_GB2312"/>
          <w:sz w:val="28"/>
          <w:szCs w:val="28"/>
          <w:highlight w:val="none"/>
          <w:u w:val="single"/>
        </w:rPr>
        <w:t>确定</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highlight w:val="none"/>
          <w:u w:val="single"/>
        </w:rPr>
        <w:t>评标委员会依据评标结果，推荐一名中标候选人</w:t>
      </w:r>
      <w:r>
        <w:rPr>
          <w:rFonts w:hint="eastAsia" w:ascii="仿宋" w:hAnsi="仿宋" w:eastAsia="仿宋" w:cs="仿宋_GB2312"/>
          <w:sz w:val="28"/>
          <w:szCs w:val="28"/>
          <w:highlight w:val="none"/>
          <w:u w:val="none"/>
        </w:rPr>
        <w:t>。</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w:t>
      </w:r>
      <w:r>
        <w:rPr>
          <w:rFonts w:hint="eastAsia" w:ascii="仿宋" w:hAnsi="仿宋" w:eastAsia="仿宋"/>
          <w:b/>
          <w:sz w:val="28"/>
          <w:szCs w:val="28"/>
          <w:highlight w:val="none"/>
          <w:lang w:val="en-US" w:eastAsia="zh-CN"/>
        </w:rPr>
        <w:t>140</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1170"/>
        <w:gridCol w:w="1710"/>
        <w:gridCol w:w="1923"/>
        <w:gridCol w:w="1417"/>
        <w:gridCol w:w="1055"/>
        <w:gridCol w:w="17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1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10" w:type="dxa"/>
            <w:vAlign w:val="center"/>
          </w:tcPr>
          <w:p>
            <w:pPr>
              <w:spacing w:line="400" w:lineRule="exact"/>
              <w:jc w:val="center"/>
              <w:rPr>
                <w:rFonts w:ascii="仿宋" w:hAnsi="仿宋" w:eastAsia="仿宋"/>
                <w:sz w:val="24"/>
              </w:rPr>
            </w:pP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税含运费单价</w:t>
            </w:r>
            <w:r>
              <w:rPr>
                <w:rFonts w:hint="eastAsia" w:ascii="仿宋" w:hAnsi="仿宋" w:eastAsia="仿宋"/>
                <w:color w:val="FF0000"/>
                <w:sz w:val="24"/>
              </w:rPr>
              <w:t>*</w:t>
            </w:r>
          </w:p>
        </w:tc>
        <w:tc>
          <w:tcPr>
            <w:tcW w:w="1923" w:type="dxa"/>
            <w:vAlign w:val="center"/>
          </w:tcPr>
          <w:p>
            <w:pPr>
              <w:spacing w:line="400" w:lineRule="exact"/>
              <w:jc w:val="center"/>
              <w:rPr>
                <w:rFonts w:hint="eastAsia" w:ascii="仿宋" w:hAnsi="仿宋" w:eastAsia="仿宋"/>
                <w:sz w:val="24"/>
              </w:rPr>
            </w:pPr>
            <w:r>
              <w:rPr>
                <w:rFonts w:ascii="仿宋" w:hAnsi="仿宋" w:eastAsia="仿宋"/>
                <w:sz w:val="24"/>
              </w:rPr>
              <w:t>含</w:t>
            </w:r>
            <w:r>
              <w:rPr>
                <w:rFonts w:hint="eastAsia" w:ascii="仿宋" w:hAnsi="仿宋" w:eastAsia="仿宋"/>
                <w:sz w:val="24"/>
                <w:lang w:val="en-US" w:eastAsia="zh-CN"/>
              </w:rPr>
              <w:t>13</w:t>
            </w:r>
            <w:r>
              <w:rPr>
                <w:rFonts w:ascii="仿宋" w:hAnsi="仿宋" w:eastAsia="仿宋"/>
                <w:sz w:val="24"/>
              </w:rPr>
              <w:t>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79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4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钢渣粉</w:t>
            </w:r>
          </w:p>
        </w:tc>
        <w:tc>
          <w:tcPr>
            <w:tcW w:w="151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6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15000</w:t>
            </w:r>
          </w:p>
        </w:tc>
        <w:tc>
          <w:tcPr>
            <w:tcW w:w="1710" w:type="dxa"/>
            <w:vAlign w:val="center"/>
          </w:tcPr>
          <w:p>
            <w:pPr>
              <w:spacing w:line="400" w:lineRule="exact"/>
              <w:jc w:val="center"/>
              <w:rPr>
                <w:rFonts w:hint="eastAsia" w:ascii="仿宋" w:hAnsi="仿宋" w:eastAsia="仿宋"/>
                <w:sz w:val="24"/>
              </w:rPr>
            </w:pPr>
          </w:p>
        </w:tc>
        <w:tc>
          <w:tcPr>
            <w:tcW w:w="1923" w:type="dxa"/>
            <w:vAlign w:val="center"/>
          </w:tcPr>
          <w:p>
            <w:pPr>
              <w:spacing w:line="400" w:lineRule="exact"/>
              <w:jc w:val="center"/>
              <w:rPr>
                <w:rFonts w:hint="eastAsia" w:ascii="仿宋" w:hAnsi="仿宋" w:eastAsia="仿宋"/>
                <w:sz w:val="24"/>
              </w:rPr>
            </w:pPr>
          </w:p>
        </w:tc>
        <w:tc>
          <w:tcPr>
            <w:tcW w:w="1417"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79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75"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33"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continue"/>
            <w:vAlign w:val="center"/>
          </w:tcPr>
          <w:p>
            <w:pPr>
              <w:spacing w:line="400" w:lineRule="exact"/>
              <w:jc w:val="center"/>
              <w:rPr>
                <w:rFonts w:hint="eastAsia" w:ascii="仿宋" w:hAnsi="仿宋" w:eastAsia="仿宋"/>
                <w:sz w:val="24"/>
              </w:rPr>
            </w:pP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10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67CE8"/>
    <w:rsid w:val="01A2719B"/>
    <w:rsid w:val="01AF2C21"/>
    <w:rsid w:val="03012A46"/>
    <w:rsid w:val="035F6345"/>
    <w:rsid w:val="036C34DA"/>
    <w:rsid w:val="03D355F0"/>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0D7A41"/>
    <w:rsid w:val="0FB34554"/>
    <w:rsid w:val="10181623"/>
    <w:rsid w:val="107E735A"/>
    <w:rsid w:val="12A820AD"/>
    <w:rsid w:val="15737884"/>
    <w:rsid w:val="17D86D23"/>
    <w:rsid w:val="17F4775E"/>
    <w:rsid w:val="18AF15FD"/>
    <w:rsid w:val="19E94006"/>
    <w:rsid w:val="1B181919"/>
    <w:rsid w:val="1BBF797C"/>
    <w:rsid w:val="1C6B302B"/>
    <w:rsid w:val="1DE26149"/>
    <w:rsid w:val="1DEE2CCA"/>
    <w:rsid w:val="1EB92EF2"/>
    <w:rsid w:val="1FAB30E7"/>
    <w:rsid w:val="2037683E"/>
    <w:rsid w:val="20637B7A"/>
    <w:rsid w:val="21A61884"/>
    <w:rsid w:val="221D09FC"/>
    <w:rsid w:val="22F91AE6"/>
    <w:rsid w:val="25590EC9"/>
    <w:rsid w:val="257F4BF0"/>
    <w:rsid w:val="25A13254"/>
    <w:rsid w:val="262F357C"/>
    <w:rsid w:val="26A26CEB"/>
    <w:rsid w:val="27235E7D"/>
    <w:rsid w:val="276F4E38"/>
    <w:rsid w:val="2834446C"/>
    <w:rsid w:val="299D4A4C"/>
    <w:rsid w:val="29B005B4"/>
    <w:rsid w:val="29EE1CEE"/>
    <w:rsid w:val="2A1902C2"/>
    <w:rsid w:val="2C6224E4"/>
    <w:rsid w:val="2C995D0F"/>
    <w:rsid w:val="2CB0179E"/>
    <w:rsid w:val="2D3E7816"/>
    <w:rsid w:val="2F3E6548"/>
    <w:rsid w:val="2FF670DA"/>
    <w:rsid w:val="30D974B7"/>
    <w:rsid w:val="31E01407"/>
    <w:rsid w:val="32512B06"/>
    <w:rsid w:val="325F16D7"/>
    <w:rsid w:val="333663C1"/>
    <w:rsid w:val="34375693"/>
    <w:rsid w:val="345F01FB"/>
    <w:rsid w:val="346848DB"/>
    <w:rsid w:val="349251DA"/>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68373F"/>
    <w:rsid w:val="3FF77603"/>
    <w:rsid w:val="413C763F"/>
    <w:rsid w:val="41B46B47"/>
    <w:rsid w:val="41DA5117"/>
    <w:rsid w:val="424B79E0"/>
    <w:rsid w:val="42844479"/>
    <w:rsid w:val="42FA2D1F"/>
    <w:rsid w:val="433466AE"/>
    <w:rsid w:val="434963F7"/>
    <w:rsid w:val="436B2C00"/>
    <w:rsid w:val="439F612A"/>
    <w:rsid w:val="441344E9"/>
    <w:rsid w:val="44842956"/>
    <w:rsid w:val="44B922E9"/>
    <w:rsid w:val="45086E27"/>
    <w:rsid w:val="465E02D2"/>
    <w:rsid w:val="48C242A4"/>
    <w:rsid w:val="499D4ACB"/>
    <w:rsid w:val="4AA911DF"/>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954678C"/>
    <w:rsid w:val="5B573321"/>
    <w:rsid w:val="5C1E1084"/>
    <w:rsid w:val="5EE27322"/>
    <w:rsid w:val="60F035C2"/>
    <w:rsid w:val="633441F6"/>
    <w:rsid w:val="6352429E"/>
    <w:rsid w:val="63E45615"/>
    <w:rsid w:val="645A1DAF"/>
    <w:rsid w:val="64940258"/>
    <w:rsid w:val="64940A1E"/>
    <w:rsid w:val="649B1EAF"/>
    <w:rsid w:val="69021DF3"/>
    <w:rsid w:val="69AD4D95"/>
    <w:rsid w:val="6A1720C7"/>
    <w:rsid w:val="6A315ABB"/>
    <w:rsid w:val="6A87598F"/>
    <w:rsid w:val="6BD5694D"/>
    <w:rsid w:val="6E1970B9"/>
    <w:rsid w:val="6F763902"/>
    <w:rsid w:val="6FE30FB3"/>
    <w:rsid w:val="703849D5"/>
    <w:rsid w:val="70C1169A"/>
    <w:rsid w:val="711712EF"/>
    <w:rsid w:val="7180640A"/>
    <w:rsid w:val="71F35AC2"/>
    <w:rsid w:val="72B81640"/>
    <w:rsid w:val="72DA2E30"/>
    <w:rsid w:val="74B57A97"/>
    <w:rsid w:val="7574564B"/>
    <w:rsid w:val="77B14F43"/>
    <w:rsid w:val="792A1CCE"/>
    <w:rsid w:val="793439F5"/>
    <w:rsid w:val="796E3D99"/>
    <w:rsid w:val="7AD90431"/>
    <w:rsid w:val="7B8D7C88"/>
    <w:rsid w:val="7C252C88"/>
    <w:rsid w:val="7C764322"/>
    <w:rsid w:val="7DCA16A4"/>
    <w:rsid w:val="7E6D0CC7"/>
    <w:rsid w:val="7E863C64"/>
    <w:rsid w:val="7EEF7FE1"/>
    <w:rsid w:val="7F67167B"/>
    <w:rsid w:val="7FC90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5"/>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3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06"/>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41"/>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11"/>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2"/>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21"/>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14"/>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44"/>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3"/>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4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27"/>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05"/>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20"/>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9"/>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5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8">
    <w:name w:val="目录标题"/>
    <w:basedOn w:val="2"/>
    <w:next w:val="1"/>
    <w:qFormat/>
    <w:uiPriority w:val="0"/>
    <w:pPr>
      <w:outlineLvl w:val="9"/>
    </w:pPr>
    <w:rPr>
      <w:rFonts w:ascii="Calibri" w:hAnsi="Calibri"/>
    </w:rPr>
  </w:style>
  <w:style w:type="paragraph" w:customStyle="1" w:styleId="59">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0">
    <w:name w:val=" Char Char Char Char Char"/>
    <w:basedOn w:val="1"/>
    <w:qFormat/>
    <w:uiPriority w:val="0"/>
    <w:pPr>
      <w:tabs>
        <w:tab w:val="left" w:pos="1360"/>
      </w:tabs>
      <w:ind w:left="1360" w:hanging="720"/>
    </w:pPr>
    <w:rPr>
      <w:szCs w:val="20"/>
    </w:rPr>
  </w:style>
  <w:style w:type="paragraph" w:customStyle="1" w:styleId="61">
    <w:name w:val="浅色底纹 - 强调文字颜色 21"/>
    <w:basedOn w:val="1"/>
    <w:next w:val="1"/>
    <w:link w:val="107"/>
    <w:qFormat/>
    <w:uiPriority w:val="0"/>
    <w:pPr>
      <w:pBdr>
        <w:bottom w:val="single" w:color="4F81BD" w:sz="4" w:space="4"/>
      </w:pBdr>
      <w:spacing w:before="200" w:after="280"/>
      <w:ind w:left="936" w:right="936"/>
    </w:pPr>
    <w:rPr>
      <w:b/>
      <w:bCs/>
      <w:i/>
      <w:iCs/>
      <w:color w:val="4F81BD"/>
      <w:szCs w:val="22"/>
    </w:rPr>
  </w:style>
  <w:style w:type="paragraph" w:customStyle="1" w:styleId="62">
    <w:name w:val="A2"/>
    <w:basedOn w:val="26"/>
    <w:qFormat/>
    <w:uiPriority w:val="0"/>
    <w:pPr>
      <w:spacing w:line="300" w:lineRule="auto"/>
      <w:jc w:val="left"/>
    </w:pPr>
    <w:rPr>
      <w:rFonts w:ascii="黑体" w:eastAsia="黑体"/>
      <w:szCs w:val="21"/>
    </w:rPr>
  </w:style>
  <w:style w:type="paragraph" w:customStyle="1" w:styleId="63">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4">
    <w:name w:val="彩色网格 - 强调文字颜色 11"/>
    <w:basedOn w:val="1"/>
    <w:next w:val="1"/>
    <w:link w:val="115"/>
    <w:qFormat/>
    <w:uiPriority w:val="0"/>
    <w:rPr>
      <w:i/>
      <w:iCs/>
      <w:color w:val="000000"/>
      <w:szCs w:val="22"/>
    </w:rPr>
  </w:style>
  <w:style w:type="paragraph" w:customStyle="1" w:styleId="65">
    <w:name w:val="1"/>
    <w:basedOn w:val="1"/>
    <w:next w:val="1"/>
    <w:uiPriority w:val="0"/>
  </w:style>
  <w:style w:type="paragraph" w:customStyle="1" w:styleId="66">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8">
    <w:name w:val="样式3"/>
    <w:basedOn w:val="4"/>
    <w:uiPriority w:val="0"/>
    <w:rPr>
      <w:rFonts w:eastAsia="Arial"/>
    </w:rPr>
  </w:style>
  <w:style w:type="paragraph" w:customStyle="1" w:styleId="6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70">
    <w:name w:val="样式2"/>
    <w:basedOn w:val="4"/>
    <w:qFormat/>
    <w:uiPriority w:val="0"/>
  </w:style>
  <w:style w:type="paragraph" w:customStyle="1" w:styleId="71">
    <w:name w:val="XW正文"/>
    <w:basedOn w:val="21"/>
    <w:qFormat/>
    <w:uiPriority w:val="0"/>
    <w:pPr>
      <w:adjustRightInd w:val="0"/>
      <w:spacing w:after="0" w:line="300" w:lineRule="auto"/>
      <w:ind w:left="0" w:leftChars="0" w:firstLine="454"/>
      <w:textAlignment w:val="baseline"/>
    </w:pPr>
    <w:rPr>
      <w:szCs w:val="20"/>
    </w:rPr>
  </w:style>
  <w:style w:type="paragraph" w:customStyle="1" w:styleId="7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3">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74">
    <w:name w:val="彩色底纹 - 强调文字颜色 11"/>
    <w:uiPriority w:val="0"/>
    <w:rPr>
      <w:rFonts w:ascii="Times New Roman" w:hAnsi="Times New Roman" w:eastAsia="宋体" w:cs="Times New Roman"/>
      <w:kern w:val="2"/>
      <w:sz w:val="21"/>
      <w:szCs w:val="24"/>
      <w:lang w:val="en-US" w:eastAsia="zh-CN" w:bidi="ar-SA"/>
    </w:rPr>
  </w:style>
  <w:style w:type="paragraph" w:customStyle="1" w:styleId="75">
    <w:name w:val="标题4"/>
    <w:basedOn w:val="3"/>
    <w:next w:val="23"/>
    <w:link w:val="118"/>
    <w:qFormat/>
    <w:uiPriority w:val="0"/>
    <w:pPr>
      <w:spacing w:line="413" w:lineRule="auto"/>
    </w:pPr>
    <w:rPr>
      <w:rFonts w:eastAsia="宋体"/>
      <w:kern w:val="0"/>
      <w:sz w:val="24"/>
    </w:rPr>
  </w:style>
  <w:style w:type="paragraph" w:customStyle="1" w:styleId="76">
    <w:name w:val="A1"/>
    <w:basedOn w:val="26"/>
    <w:qFormat/>
    <w:uiPriority w:val="0"/>
    <w:pPr>
      <w:spacing w:line="300" w:lineRule="auto"/>
      <w:jc w:val="center"/>
    </w:pPr>
    <w:rPr>
      <w:rFonts w:ascii="黑体" w:eastAsia="黑体"/>
      <w:sz w:val="52"/>
      <w:szCs w:val="21"/>
    </w:rPr>
  </w:style>
  <w:style w:type="paragraph" w:customStyle="1" w:styleId="77">
    <w:name w:val="样式1"/>
    <w:basedOn w:val="4"/>
    <w:qFormat/>
    <w:uiPriority w:val="0"/>
    <w:rPr>
      <w:rFonts w:eastAsia="Arial"/>
    </w:rPr>
  </w:style>
  <w:style w:type="paragraph" w:customStyle="1" w:styleId="78">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79">
    <w:name w:val="目录"/>
    <w:basedOn w:val="1"/>
    <w:qFormat/>
    <w:uiPriority w:val="0"/>
    <w:pPr>
      <w:widowControl/>
      <w:jc w:val="center"/>
    </w:pPr>
    <w:rPr>
      <w:rFonts w:hint="eastAsia" w:ascii="宋体"/>
      <w:b/>
      <w:kern w:val="0"/>
      <w:sz w:val="36"/>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菲页(卷)"/>
    <w:basedOn w:val="2"/>
    <w:next w:val="66"/>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82">
    <w:name w:val="p0"/>
    <w:basedOn w:val="1"/>
    <w:qFormat/>
    <w:uiPriority w:val="0"/>
    <w:pPr>
      <w:widowControl/>
    </w:pPr>
    <w:rPr>
      <w:kern w:val="0"/>
      <w:szCs w:val="21"/>
    </w:rPr>
  </w:style>
  <w:style w:type="paragraph" w:customStyle="1" w:styleId="83">
    <w:name w:val="Char"/>
    <w:basedOn w:val="1"/>
    <w:qFormat/>
    <w:uiPriority w:val="0"/>
  </w:style>
  <w:style w:type="paragraph" w:customStyle="1" w:styleId="84">
    <w:name w:val="标题5"/>
    <w:basedOn w:val="4"/>
    <w:link w:val="136"/>
    <w:qFormat/>
    <w:uiPriority w:val="0"/>
    <w:pPr>
      <w:spacing w:line="413" w:lineRule="auto"/>
    </w:pPr>
    <w:rPr>
      <w:rFonts w:ascii="Arial" w:hAnsi="Arial"/>
      <w:kern w:val="0"/>
      <w:sz w:val="24"/>
    </w:rPr>
  </w:style>
  <w:style w:type="paragraph" w:customStyle="1" w:styleId="85">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86">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7">
    <w:name w:val="默认段落字体 Para Char Char Char Char"/>
    <w:basedOn w:val="1"/>
    <w:qFormat/>
    <w:uiPriority w:val="0"/>
  </w:style>
  <w:style w:type="paragraph" w:customStyle="1" w:styleId="88">
    <w:name w:val="表头"/>
    <w:basedOn w:val="1"/>
    <w:qFormat/>
    <w:uiPriority w:val="0"/>
    <w:pPr>
      <w:snapToGrid w:val="0"/>
      <w:spacing w:line="300" w:lineRule="auto"/>
      <w:ind w:right="420"/>
    </w:pPr>
    <w:rPr>
      <w:rFonts w:ascii="仿宋_GB2312"/>
      <w:kern w:val="0"/>
      <w:szCs w:val="21"/>
    </w:rPr>
  </w:style>
  <w:style w:type="paragraph" w:customStyle="1" w:styleId="89">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9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1">
    <w:name w:val="Char4"/>
    <w:basedOn w:val="1"/>
    <w:qFormat/>
    <w:uiPriority w:val="0"/>
    <w:pPr>
      <w:spacing w:line="360" w:lineRule="auto"/>
      <w:ind w:firstLine="200" w:firstLineChars="200"/>
    </w:pPr>
    <w:rPr>
      <w:rFonts w:ascii="Arial" w:hAnsi="Arial" w:cs="Arial"/>
      <w:sz w:val="24"/>
    </w:rPr>
  </w:style>
  <w:style w:type="paragraph" w:customStyle="1" w:styleId="92">
    <w:name w:val="样式 标题 3 + (中文) 黑体 小四 非加粗 段前: 7.8 磅 段后: 0 磅 行距: 固定值 20 磅"/>
    <w:basedOn w:val="4"/>
    <w:uiPriority w:val="0"/>
    <w:pPr>
      <w:spacing w:before="0" w:beforeLines="0" w:after="0" w:afterLines="0" w:line="400" w:lineRule="exact"/>
    </w:pPr>
    <w:rPr>
      <w:rFonts w:eastAsia="黑体" w:cs="宋体"/>
      <w:b w:val="0"/>
      <w:bCs w:val="0"/>
      <w:sz w:val="24"/>
      <w:szCs w:val="20"/>
    </w:rPr>
  </w:style>
  <w:style w:type="paragraph" w:customStyle="1" w:styleId="93">
    <w:name w:val="表格文字"/>
    <w:basedOn w:val="1"/>
    <w:qFormat/>
    <w:uiPriority w:val="0"/>
    <w:pPr>
      <w:adjustRightInd w:val="0"/>
      <w:spacing w:line="420" w:lineRule="atLeast"/>
      <w:jc w:val="left"/>
      <w:textAlignment w:val="baseline"/>
    </w:pPr>
    <w:rPr>
      <w:kern w:val="0"/>
      <w:szCs w:val="20"/>
    </w:rPr>
  </w:style>
  <w:style w:type="paragraph" w:customStyle="1" w:styleId="9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95">
    <w:name w:val="样式4"/>
    <w:basedOn w:val="4"/>
    <w:uiPriority w:val="0"/>
    <w:rPr>
      <w:rFonts w:eastAsia="Arial"/>
    </w:rPr>
  </w:style>
  <w:style w:type="paragraph" w:customStyle="1" w:styleId="96">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9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8">
    <w:name w:val="样式 标题 31 + 宋体 黑色 左侧:  0 厘米 首行缩进:  0 厘米"/>
    <w:basedOn w:val="1"/>
    <w:uiPriority w:val="0"/>
    <w:pPr>
      <w:snapToGrid w:val="0"/>
      <w:spacing w:before="120" w:after="120" w:line="360" w:lineRule="auto"/>
      <w:jc w:val="left"/>
      <w:outlineLvl w:val="2"/>
    </w:pPr>
    <w:rPr>
      <w:rFonts w:ascii="宋体" w:hAnsi="宋体" w:cs="宋体"/>
      <w:color w:val="000000"/>
      <w:kern w:val="0"/>
      <w:szCs w:val="21"/>
    </w:rPr>
  </w:style>
  <w:style w:type="paragraph" w:customStyle="1" w:styleId="99">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00">
    <w:name w:val=" Char"/>
    <w:basedOn w:val="1"/>
    <w:qFormat/>
    <w:uiPriority w:val="0"/>
    <w:pPr>
      <w:tabs>
        <w:tab w:val="left" w:pos="360"/>
      </w:tabs>
    </w:pPr>
    <w:rPr>
      <w:sz w:val="24"/>
    </w:rPr>
  </w:style>
  <w:style w:type="paragraph" w:customStyle="1" w:styleId="101">
    <w:name w:val="XW编号正文"/>
    <w:basedOn w:val="71"/>
    <w:qFormat/>
    <w:uiPriority w:val="0"/>
    <w:pPr>
      <w:numPr>
        <w:ilvl w:val="0"/>
        <w:numId w:val="1"/>
      </w:numPr>
      <w:tabs>
        <w:tab w:val="left" w:pos="1035"/>
        <w:tab w:val="left" w:pos="1134"/>
      </w:tabs>
      <w:ind w:left="1035" w:hanging="720"/>
      <w:jc w:val="left"/>
    </w:pPr>
  </w:style>
  <w:style w:type="paragraph" w:customStyle="1" w:styleId="102">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A3"/>
    <w:basedOn w:val="76"/>
    <w:qFormat/>
    <w:uiPriority w:val="0"/>
    <w:rPr>
      <w:sz w:val="21"/>
    </w:rPr>
  </w:style>
  <w:style w:type="paragraph" w:customStyle="1" w:styleId="104">
    <w:name w:val="表格"/>
    <w:basedOn w:val="1"/>
    <w:qFormat/>
    <w:uiPriority w:val="0"/>
    <w:pPr>
      <w:jc w:val="center"/>
      <w:textAlignment w:val="center"/>
    </w:pPr>
    <w:rPr>
      <w:rFonts w:ascii="华文细黑" w:hAnsi="华文细黑"/>
      <w:kern w:val="0"/>
      <w:szCs w:val="20"/>
    </w:rPr>
  </w:style>
  <w:style w:type="character" w:customStyle="1" w:styleId="105">
    <w:name w:val="正文文本 Char"/>
    <w:link w:val="19"/>
    <w:qFormat/>
    <w:uiPriority w:val="0"/>
    <w:rPr>
      <w:rFonts w:eastAsia="宋体"/>
      <w:kern w:val="2"/>
      <w:sz w:val="21"/>
      <w:szCs w:val="24"/>
      <w:lang w:val="en-US" w:eastAsia="zh-CN" w:bidi="ar-SA"/>
    </w:rPr>
  </w:style>
  <w:style w:type="character" w:customStyle="1" w:styleId="106">
    <w:name w:val="标题 3 Char"/>
    <w:link w:val="4"/>
    <w:qFormat/>
    <w:uiPriority w:val="0"/>
    <w:rPr>
      <w:rFonts w:eastAsia="宋体"/>
      <w:b/>
      <w:bCs/>
      <w:kern w:val="2"/>
      <w:sz w:val="32"/>
      <w:szCs w:val="32"/>
      <w:lang w:val="en-US" w:eastAsia="zh-CN" w:bidi="ar-SA"/>
    </w:rPr>
  </w:style>
  <w:style w:type="character" w:customStyle="1" w:styleId="107">
    <w:name w:val="浅色底纹 - 强调文字颜色 2 Char"/>
    <w:link w:val="61"/>
    <w:qFormat/>
    <w:uiPriority w:val="0"/>
    <w:rPr>
      <w:b/>
      <w:bCs/>
      <w:i/>
      <w:iCs/>
      <w:color w:val="4F81BD"/>
      <w:kern w:val="2"/>
      <w:sz w:val="21"/>
      <w:szCs w:val="22"/>
      <w:lang w:bidi="ar-SA"/>
    </w:rPr>
  </w:style>
  <w:style w:type="character" w:customStyle="1" w:styleId="108">
    <w:name w:val="批注框文本 Char1"/>
    <w:qFormat/>
    <w:uiPriority w:val="0"/>
    <w:rPr>
      <w:kern w:val="2"/>
      <w:sz w:val="18"/>
      <w:szCs w:val="18"/>
    </w:rPr>
  </w:style>
  <w:style w:type="character" w:customStyle="1" w:styleId="109">
    <w:name w:val="_Style 108"/>
    <w:qFormat/>
    <w:uiPriority w:val="0"/>
    <w:rPr>
      <w:b/>
      <w:bCs/>
      <w:i/>
      <w:iCs/>
      <w:color w:val="4F81BD"/>
    </w:rPr>
  </w:style>
  <w:style w:type="character" w:customStyle="1" w:styleId="110">
    <w:name w:val="正文文本 Char1"/>
    <w:qFormat/>
    <w:uiPriority w:val="0"/>
    <w:rPr>
      <w:kern w:val="2"/>
      <w:sz w:val="21"/>
      <w:szCs w:val="22"/>
    </w:rPr>
  </w:style>
  <w:style w:type="character" w:customStyle="1" w:styleId="111">
    <w:name w:val="标题 5 Char"/>
    <w:link w:val="6"/>
    <w:qFormat/>
    <w:uiPriority w:val="0"/>
    <w:rPr>
      <w:rFonts w:ascii="Calibri" w:hAnsi="Calibri" w:eastAsia="宋体"/>
      <w:b/>
      <w:bCs/>
      <w:kern w:val="2"/>
      <w:sz w:val="28"/>
      <w:szCs w:val="28"/>
      <w:lang w:val="en-US" w:eastAsia="zh-CN" w:bidi="ar-SA"/>
    </w:rPr>
  </w:style>
  <w:style w:type="character" w:customStyle="1" w:styleId="112">
    <w:name w:val="textcontents"/>
    <w:qFormat/>
    <w:uiPriority w:val="0"/>
    <w:rPr>
      <w:rFonts w:cs="Times New Roman"/>
    </w:rPr>
  </w:style>
  <w:style w:type="character" w:customStyle="1" w:styleId="113">
    <w:name w:val="批注文字 Char"/>
    <w:link w:val="12"/>
    <w:qFormat/>
    <w:uiPriority w:val="0"/>
    <w:rPr>
      <w:rFonts w:eastAsia="宋体"/>
      <w:kern w:val="2"/>
      <w:sz w:val="21"/>
      <w:szCs w:val="24"/>
      <w:lang w:val="en-US" w:eastAsia="zh-CN" w:bidi="ar-SA"/>
    </w:rPr>
  </w:style>
  <w:style w:type="character" w:customStyle="1" w:styleId="114">
    <w:name w:val="标题 8 Char"/>
    <w:link w:val="9"/>
    <w:qFormat/>
    <w:uiPriority w:val="0"/>
    <w:rPr>
      <w:rFonts w:ascii="Arial" w:hAnsi="Arial" w:eastAsia="黑体"/>
      <w:sz w:val="24"/>
      <w:szCs w:val="24"/>
      <w:lang w:val="en-US" w:eastAsia="zh-CN" w:bidi="ar-SA"/>
    </w:rPr>
  </w:style>
  <w:style w:type="character" w:customStyle="1" w:styleId="115">
    <w:name w:val="彩色网格 - 强调文字颜色 1 Char"/>
    <w:link w:val="64"/>
    <w:qFormat/>
    <w:uiPriority w:val="0"/>
    <w:rPr>
      <w:i/>
      <w:iCs/>
      <w:color w:val="000000"/>
      <w:kern w:val="2"/>
      <w:sz w:val="21"/>
      <w:szCs w:val="22"/>
      <w:lang w:bidi="ar-SA"/>
    </w:rPr>
  </w:style>
  <w:style w:type="character" w:customStyle="1" w:styleId="116">
    <w:name w:val="Para head"/>
    <w:qFormat/>
    <w:uiPriority w:val="0"/>
    <w:rPr>
      <w:rFonts w:ascii="Arial" w:hAnsi="Arial" w:eastAsia="Times New Roman"/>
      <w:sz w:val="20"/>
    </w:rPr>
  </w:style>
  <w:style w:type="character" w:customStyle="1" w:styleId="117">
    <w:name w:val=" Char Char19"/>
    <w:qFormat/>
    <w:uiPriority w:val="0"/>
    <w:rPr>
      <w:rFonts w:ascii="黑体" w:hAnsi="宋体" w:eastAsia="黑体"/>
      <w:sz w:val="52"/>
      <w:lang w:val="en-US" w:eastAsia="zh-CN" w:bidi="ar-SA"/>
    </w:rPr>
  </w:style>
  <w:style w:type="character" w:customStyle="1" w:styleId="118">
    <w:name w:val="标题4 Char Char"/>
    <w:link w:val="75"/>
    <w:qFormat/>
    <w:uiPriority w:val="0"/>
    <w:rPr>
      <w:rFonts w:ascii="Arial" w:hAnsi="Arial"/>
      <w:b/>
      <w:bCs/>
      <w:sz w:val="24"/>
      <w:szCs w:val="32"/>
      <w:lang w:bidi="ar-SA"/>
    </w:rPr>
  </w:style>
  <w:style w:type="character" w:customStyle="1" w:styleId="119">
    <w:name w:val="页眉 Char"/>
    <w:link w:val="32"/>
    <w:qFormat/>
    <w:uiPriority w:val="0"/>
    <w:rPr>
      <w:rFonts w:eastAsia="宋体"/>
      <w:kern w:val="2"/>
      <w:sz w:val="18"/>
      <w:szCs w:val="18"/>
      <w:lang w:val="en-US" w:eastAsia="zh-CN" w:bidi="ar-SA"/>
    </w:rPr>
  </w:style>
  <w:style w:type="character" w:customStyle="1" w:styleId="120">
    <w:name w:val="纯文本 Char"/>
    <w:link w:val="26"/>
    <w:qFormat/>
    <w:uiPriority w:val="0"/>
    <w:rPr>
      <w:rFonts w:ascii="Courier New" w:hAnsi="Courier New" w:eastAsia="宋体"/>
      <w:kern w:val="2"/>
      <w:sz w:val="21"/>
      <w:lang w:val="en-US" w:eastAsia="zh-CN" w:bidi="ar-SA"/>
    </w:rPr>
  </w:style>
  <w:style w:type="character" w:customStyle="1" w:styleId="121">
    <w:name w:val="标题 7 Char"/>
    <w:link w:val="8"/>
    <w:qFormat/>
    <w:uiPriority w:val="0"/>
    <w:rPr>
      <w:rFonts w:eastAsia="宋体"/>
      <w:b/>
      <w:bCs/>
      <w:sz w:val="24"/>
      <w:szCs w:val="24"/>
      <w:lang w:val="en-US" w:eastAsia="zh-CN" w:bidi="ar-SA"/>
    </w:rPr>
  </w:style>
  <w:style w:type="character" w:customStyle="1" w:styleId="122">
    <w:name w:val="页眉 Char Char"/>
    <w:qFormat/>
    <w:uiPriority w:val="0"/>
    <w:rPr>
      <w:rFonts w:eastAsia="宋体"/>
      <w:kern w:val="2"/>
      <w:sz w:val="18"/>
      <w:szCs w:val="18"/>
      <w:lang w:val="en-US" w:eastAsia="zh-CN" w:bidi="ar-SA"/>
    </w:rPr>
  </w:style>
  <w:style w:type="character" w:customStyle="1" w:styleId="123">
    <w:name w:val="日期 Char1"/>
    <w:qFormat/>
    <w:uiPriority w:val="0"/>
    <w:rPr>
      <w:kern w:val="2"/>
      <w:sz w:val="21"/>
      <w:szCs w:val="22"/>
    </w:rPr>
  </w:style>
  <w:style w:type="character" w:customStyle="1" w:styleId="124">
    <w:name w:val="font11"/>
    <w:qFormat/>
    <w:uiPriority w:val="0"/>
    <w:rPr>
      <w:rFonts w:hint="eastAsia" w:ascii="宋体" w:hAnsi="宋体" w:eastAsia="宋体" w:cs="宋体"/>
      <w:color w:val="000000"/>
      <w:sz w:val="20"/>
      <w:szCs w:val="20"/>
      <w:u w:val="none"/>
    </w:rPr>
  </w:style>
  <w:style w:type="character" w:customStyle="1" w:styleId="125">
    <w:name w:val="标题 4 Char"/>
    <w:qFormat/>
    <w:uiPriority w:val="0"/>
    <w:rPr>
      <w:rFonts w:eastAsia="宋体"/>
      <w:sz w:val="21"/>
      <w:lang w:val="en-US" w:eastAsia="zh-CN" w:bidi="ar-SA"/>
    </w:rPr>
  </w:style>
  <w:style w:type="character" w:customStyle="1" w:styleId="126">
    <w:name w:val=" Char Char18"/>
    <w:uiPriority w:val="0"/>
    <w:rPr>
      <w:b/>
      <w:bCs/>
      <w:kern w:val="44"/>
      <w:sz w:val="44"/>
      <w:szCs w:val="44"/>
    </w:rPr>
  </w:style>
  <w:style w:type="character" w:customStyle="1" w:styleId="127">
    <w:name w:val="文档结构图 Char"/>
    <w:link w:val="17"/>
    <w:qFormat/>
    <w:uiPriority w:val="0"/>
    <w:rPr>
      <w:rFonts w:eastAsia="宋体"/>
      <w:kern w:val="2"/>
      <w:sz w:val="21"/>
      <w:szCs w:val="24"/>
      <w:lang w:val="en-US" w:eastAsia="zh-CN" w:bidi="ar-SA"/>
    </w:rPr>
  </w:style>
  <w:style w:type="character" w:customStyle="1" w:styleId="128">
    <w:name w:val="4号宋体左齐行距1.5倍 Char"/>
    <w:qFormat/>
    <w:uiPriority w:val="0"/>
    <w:rPr>
      <w:rFonts w:eastAsia="宋体"/>
      <w:b/>
      <w:sz w:val="32"/>
      <w:lang w:val="en-US" w:eastAsia="zh-CN" w:bidi="ar-SA"/>
    </w:rPr>
  </w:style>
  <w:style w:type="character" w:customStyle="1" w:styleId="129">
    <w:name w:val="apple-converted-space"/>
    <w:qFormat/>
    <w:uiPriority w:val="0"/>
  </w:style>
  <w:style w:type="character" w:customStyle="1" w:styleId="130">
    <w:name w:val="ask-title"/>
    <w:qFormat/>
    <w:uiPriority w:val="0"/>
  </w:style>
  <w:style w:type="character" w:customStyle="1" w:styleId="131">
    <w:name w:val="标题 2 Char"/>
    <w:link w:val="3"/>
    <w:qFormat/>
    <w:uiPriority w:val="0"/>
    <w:rPr>
      <w:rFonts w:ascii="Arial" w:hAnsi="Arial" w:eastAsia="黑体"/>
      <w:b/>
      <w:bCs/>
      <w:kern w:val="2"/>
      <w:sz w:val="32"/>
      <w:szCs w:val="32"/>
      <w:lang w:val="en-US" w:eastAsia="zh-CN" w:bidi="ar-SA"/>
    </w:rPr>
  </w:style>
  <w:style w:type="character" w:customStyle="1" w:styleId="132">
    <w:name w:val=" Char Char2"/>
    <w:qFormat/>
    <w:uiPriority w:val="0"/>
    <w:rPr>
      <w:rFonts w:eastAsia="宋体"/>
      <w:kern w:val="2"/>
      <w:sz w:val="21"/>
      <w:szCs w:val="24"/>
      <w:lang w:val="en-US" w:eastAsia="zh-CN" w:bidi="ar-SA"/>
    </w:rPr>
  </w:style>
  <w:style w:type="character" w:customStyle="1" w:styleId="133">
    <w:name w:val="副标题 Char"/>
    <w:link w:val="35"/>
    <w:qFormat/>
    <w:uiPriority w:val="0"/>
    <w:rPr>
      <w:rFonts w:ascii="Arial" w:hAnsi="Arial" w:eastAsia="黑体"/>
      <w:b/>
      <w:bCs/>
      <w:kern w:val="2"/>
      <w:sz w:val="32"/>
      <w:szCs w:val="32"/>
      <w:lang w:val="en-US" w:eastAsia="zh-CN" w:bidi="ar-SA"/>
    </w:rPr>
  </w:style>
  <w:style w:type="character" w:customStyle="1" w:styleId="134">
    <w:name w:val="_Style 133"/>
    <w:qFormat/>
    <w:uiPriority w:val="0"/>
    <w:rPr>
      <w:b/>
      <w:bCs/>
      <w:smallCaps/>
      <w:spacing w:val="5"/>
    </w:rPr>
  </w:style>
  <w:style w:type="character" w:customStyle="1" w:styleId="135">
    <w:name w:val="标题 1 Char"/>
    <w:link w:val="2"/>
    <w:qFormat/>
    <w:uiPriority w:val="0"/>
    <w:rPr>
      <w:rFonts w:eastAsia="宋体"/>
      <w:b/>
      <w:bCs/>
      <w:kern w:val="44"/>
      <w:sz w:val="44"/>
      <w:szCs w:val="44"/>
      <w:lang w:val="en-US" w:eastAsia="zh-CN" w:bidi="ar-SA"/>
    </w:rPr>
  </w:style>
  <w:style w:type="character" w:customStyle="1" w:styleId="136">
    <w:name w:val="标题5 Char Char"/>
    <w:link w:val="84"/>
    <w:qFormat/>
    <w:uiPriority w:val="0"/>
    <w:rPr>
      <w:rFonts w:ascii="Arial" w:hAnsi="Arial"/>
      <w:b/>
      <w:bCs/>
      <w:sz w:val="24"/>
      <w:szCs w:val="32"/>
      <w:lang w:bidi="ar-SA"/>
    </w:rPr>
  </w:style>
  <w:style w:type="character" w:customStyle="1" w:styleId="137">
    <w:name w:val=" Char Char"/>
    <w:qFormat/>
    <w:uiPriority w:val="0"/>
    <w:rPr>
      <w:rFonts w:ascii="Arial" w:hAnsi="Arial" w:eastAsia="黑体"/>
      <w:b/>
      <w:bCs/>
      <w:kern w:val="2"/>
      <w:sz w:val="32"/>
      <w:szCs w:val="32"/>
      <w:lang w:val="en-US" w:eastAsia="zh-CN" w:bidi="ar-SA"/>
    </w:rPr>
  </w:style>
  <w:style w:type="character" w:customStyle="1" w:styleId="138">
    <w:name w:val="批注文字 Char Char"/>
    <w:qFormat/>
    <w:uiPriority w:val="0"/>
    <w:rPr>
      <w:rFonts w:ascii="宋体" w:hAnsi="Times New Roman" w:eastAsia="宋体" w:cs="Times New Roman"/>
      <w:sz w:val="28"/>
      <w:szCs w:val="20"/>
    </w:rPr>
  </w:style>
  <w:style w:type="character" w:customStyle="1" w:styleId="139">
    <w:name w:val="font161"/>
    <w:uiPriority w:val="0"/>
    <w:rPr>
      <w:b/>
      <w:bCs/>
      <w:sz w:val="32"/>
      <w:szCs w:val="32"/>
    </w:rPr>
  </w:style>
  <w:style w:type="character" w:customStyle="1" w:styleId="140">
    <w:name w:val="正文缩进 Char"/>
    <w:link w:val="14"/>
    <w:qFormat/>
    <w:uiPriority w:val="0"/>
    <w:rPr>
      <w:rFonts w:eastAsia="宋体"/>
      <w:kern w:val="2"/>
      <w:sz w:val="21"/>
      <w:szCs w:val="24"/>
      <w:lang w:val="en-US" w:eastAsia="zh-CN" w:bidi="ar-SA"/>
    </w:rPr>
  </w:style>
  <w:style w:type="character" w:customStyle="1" w:styleId="141">
    <w:name w:val="标题 4 Char1"/>
    <w:link w:val="5"/>
    <w:qFormat/>
    <w:uiPriority w:val="0"/>
    <w:rPr>
      <w:rFonts w:ascii="Arial" w:hAnsi="Arial" w:eastAsia="黑体"/>
      <w:b/>
      <w:bCs/>
      <w:kern w:val="2"/>
      <w:sz w:val="28"/>
      <w:szCs w:val="28"/>
      <w:lang w:val="en-US" w:eastAsia="zh-CN" w:bidi="ar-SA"/>
    </w:rPr>
  </w:style>
  <w:style w:type="character" w:customStyle="1" w:styleId="142">
    <w:name w:val="标题 6 Char"/>
    <w:link w:val="7"/>
    <w:qFormat/>
    <w:uiPriority w:val="0"/>
    <w:rPr>
      <w:rFonts w:ascii="Arial" w:hAnsi="Arial" w:eastAsia="黑体"/>
      <w:b/>
      <w:bCs/>
      <w:sz w:val="24"/>
      <w:szCs w:val="24"/>
      <w:lang w:val="en-US" w:eastAsia="zh-CN" w:bidi="ar-SA"/>
    </w:rPr>
  </w:style>
  <w:style w:type="character" w:customStyle="1" w:styleId="143">
    <w:name w:val="_Style 142"/>
    <w:qFormat/>
    <w:uiPriority w:val="0"/>
    <w:rPr>
      <w:b/>
      <w:bCs/>
      <w:smallCaps/>
      <w:color w:val="C0504D"/>
      <w:spacing w:val="5"/>
      <w:u w:val="single"/>
    </w:rPr>
  </w:style>
  <w:style w:type="character" w:customStyle="1" w:styleId="144">
    <w:name w:val="标题 9 Char"/>
    <w:link w:val="10"/>
    <w:uiPriority w:val="0"/>
    <w:rPr>
      <w:rFonts w:ascii="Arial" w:hAnsi="Arial" w:eastAsia="黑体"/>
      <w:sz w:val="21"/>
      <w:szCs w:val="21"/>
      <w:lang w:val="en-US" w:eastAsia="zh-CN" w:bidi="ar-SA"/>
    </w:rPr>
  </w:style>
  <w:style w:type="character" w:customStyle="1" w:styleId="145">
    <w:name w:val="_Style 144"/>
    <w:qFormat/>
    <w:uiPriority w:val="0"/>
    <w:rPr>
      <w:smallCaps/>
      <w:color w:val="C0504D"/>
      <w:u w:val="single"/>
    </w:rPr>
  </w:style>
  <w:style w:type="character" w:customStyle="1" w:styleId="146">
    <w:name w:val=" Char Char9"/>
    <w:qFormat/>
    <w:uiPriority w:val="0"/>
    <w:rPr>
      <w:kern w:val="2"/>
      <w:sz w:val="21"/>
      <w:szCs w:val="22"/>
    </w:rPr>
  </w:style>
  <w:style w:type="character" w:customStyle="1" w:styleId="147">
    <w:name w:val="_Style 146"/>
    <w:qFormat/>
    <w:uiPriority w:val="0"/>
    <w:rPr>
      <w:i/>
      <w:iCs/>
      <w:color w:val="808080"/>
    </w:rPr>
  </w:style>
  <w:style w:type="character" w:customStyle="1" w:styleId="148">
    <w:name w:val="批注主题 Char1"/>
    <w:qFormat/>
    <w:uiPriority w:val="0"/>
    <w:rPr>
      <w:b/>
      <w:bCs/>
      <w:kern w:val="2"/>
      <w:sz w:val="21"/>
      <w:szCs w:val="22"/>
    </w:rPr>
  </w:style>
  <w:style w:type="character" w:customStyle="1" w:styleId="149">
    <w:name w:val="页脚 Char Char"/>
    <w:qFormat/>
    <w:uiPriority w:val="0"/>
    <w:rPr>
      <w:rFonts w:eastAsia="宋体"/>
      <w:kern w:val="2"/>
      <w:sz w:val="18"/>
      <w:szCs w:val="18"/>
      <w:lang w:val="en-US" w:eastAsia="zh-CN" w:bidi="ar-SA"/>
    </w:rPr>
  </w:style>
  <w:style w:type="character" w:customStyle="1" w:styleId="150">
    <w:name w:val=" Char Char7"/>
    <w:qFormat/>
    <w:uiPriority w:val="0"/>
    <w:rPr>
      <w:rFonts w:ascii="Arial" w:hAnsi="Arial" w:eastAsia="黑体"/>
      <w:b/>
      <w:bCs/>
      <w:kern w:val="2"/>
      <w:sz w:val="32"/>
      <w:szCs w:val="32"/>
      <w:lang w:val="en-US" w:eastAsia="zh-CN" w:bidi="ar-SA"/>
    </w:rPr>
  </w:style>
  <w:style w:type="character" w:customStyle="1" w:styleId="151">
    <w:name w:val="文档结构图 Char1"/>
    <w:qFormat/>
    <w:uiPriority w:val="0"/>
    <w:rPr>
      <w:rFonts w:ascii="宋体"/>
      <w:kern w:val="2"/>
      <w:sz w:val="18"/>
      <w:szCs w:val="18"/>
    </w:rPr>
  </w:style>
  <w:style w:type="character" w:customStyle="1" w:styleId="152">
    <w:name w:val=" Char Char17"/>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11</TotalTime>
  <ScaleCrop>false</ScaleCrop>
  <LinksUpToDate>false</LinksUpToDate>
  <CharactersWithSpaces>5401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2023-09-22T00:09:48Z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